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CD" w:rsidRDefault="008C75CD" w:rsidP="008C75CD">
      <w:pPr>
        <w:jc w:val="center"/>
        <w:rPr>
          <w:b/>
        </w:rPr>
      </w:pPr>
      <w:bookmarkStart w:id="0" w:name="_GoBack"/>
      <w:bookmarkEnd w:id="0"/>
      <w:r>
        <w:rPr>
          <w:b/>
        </w:rPr>
        <w:t>PUBLIC SERVICE PAY COMMISSION</w:t>
      </w:r>
    </w:p>
    <w:p w:rsidR="008C75CD" w:rsidRDefault="008C75CD" w:rsidP="008C75CD">
      <w:pPr>
        <w:jc w:val="center"/>
        <w:rPr>
          <w:b/>
        </w:rPr>
      </w:pPr>
      <w:r>
        <w:rPr>
          <w:b/>
        </w:rPr>
        <w:t>REPORT MAY 2017</w:t>
      </w:r>
    </w:p>
    <w:p w:rsidR="008C75CD" w:rsidRDefault="008C75CD" w:rsidP="008C75CD">
      <w:pPr>
        <w:jc w:val="center"/>
        <w:rPr>
          <w:b/>
        </w:rPr>
      </w:pPr>
      <w:r>
        <w:rPr>
          <w:b/>
        </w:rPr>
        <w:t>SUMMARY OF MAIN POINTS</w:t>
      </w:r>
    </w:p>
    <w:p w:rsidR="008C75CD" w:rsidRDefault="008C75CD">
      <w:pPr>
        <w:rPr>
          <w:b/>
        </w:rPr>
      </w:pPr>
    </w:p>
    <w:p w:rsidR="00235E10" w:rsidRPr="005C6394" w:rsidRDefault="005C6394">
      <w:pPr>
        <w:rPr>
          <w:b/>
        </w:rPr>
      </w:pPr>
      <w:r w:rsidRPr="005C6394">
        <w:rPr>
          <w:b/>
        </w:rPr>
        <w:t>P</w:t>
      </w:r>
      <w:r w:rsidR="00836CC4">
        <w:rPr>
          <w:b/>
        </w:rPr>
        <w:t>ENSIONS</w:t>
      </w:r>
    </w:p>
    <w:p w:rsidR="005C6394" w:rsidRDefault="00B8583C" w:rsidP="005C6394">
      <w:pPr>
        <w:pStyle w:val="ListParagraph"/>
        <w:numPr>
          <w:ilvl w:val="0"/>
          <w:numId w:val="1"/>
        </w:numPr>
      </w:pPr>
      <w:r>
        <w:t xml:space="preserve">Pensions under </w:t>
      </w:r>
      <w:r w:rsidR="005C6394">
        <w:t>(2013) standard accrual ‘Single Public Service Pension Scheme’ are on a par with private sector DC schemes.</w:t>
      </w:r>
    </w:p>
    <w:p w:rsidR="005C6394" w:rsidRDefault="005C6394" w:rsidP="00CA3910">
      <w:pPr>
        <w:pStyle w:val="ListParagraph"/>
        <w:numPr>
          <w:ilvl w:val="0"/>
          <w:numId w:val="1"/>
        </w:numPr>
      </w:pPr>
      <w:r>
        <w:t xml:space="preserve">Depending on </w:t>
      </w:r>
      <w:r w:rsidR="00080A72">
        <w:t xml:space="preserve">“a range of reasonable </w:t>
      </w:r>
      <w:r>
        <w:t>assumptions,</w:t>
      </w:r>
      <w:r w:rsidR="00080A72">
        <w:t>”</w:t>
      </w:r>
      <w:r>
        <w:t xml:space="preserve"> (pre-2013) legacy schemes are worth between 12% and 18% more than private sector schemes.</w:t>
      </w:r>
      <w:r w:rsidR="00CA3910" w:rsidRPr="00CA3910">
        <w:t xml:space="preserve"> </w:t>
      </w:r>
      <w:r w:rsidR="00CA3910">
        <w:t>It’s a matter for the parties to assess the information and agree on an evaluation of the value.</w:t>
      </w:r>
    </w:p>
    <w:p w:rsidR="005C6394" w:rsidRDefault="005C6394" w:rsidP="005C6394">
      <w:pPr>
        <w:pStyle w:val="ListParagraph"/>
        <w:numPr>
          <w:ilvl w:val="0"/>
          <w:numId w:val="1"/>
        </w:numPr>
      </w:pPr>
      <w:r>
        <w:t>Fast accrual schemes more valuable again, with value depending on specific scheme.</w:t>
      </w:r>
    </w:p>
    <w:p w:rsidR="00DE7D72" w:rsidRDefault="005C6394" w:rsidP="0008335E">
      <w:pPr>
        <w:pStyle w:val="ListParagraph"/>
        <w:numPr>
          <w:ilvl w:val="0"/>
          <w:numId w:val="1"/>
        </w:numPr>
      </w:pPr>
      <w:r>
        <w:t>Higher value of pre-2013 arrangements should be addressed through increased employee contribution, applied in agreed adjustments as PRD is discontinued.</w:t>
      </w:r>
    </w:p>
    <w:p w:rsidR="00DE7D72" w:rsidRDefault="00DE7D72" w:rsidP="00DE7D72">
      <w:pPr>
        <w:pStyle w:val="ListParagraph"/>
      </w:pPr>
    </w:p>
    <w:p w:rsidR="00C205EC" w:rsidRDefault="00B11CBA" w:rsidP="00C205EC">
      <w:r w:rsidRPr="00B11CBA">
        <w:rPr>
          <w:b/>
          <w:i/>
        </w:rPr>
        <w:t>Pensions: supplementary</w:t>
      </w:r>
      <w:r w:rsidR="00DE7D72">
        <w:rPr>
          <w:b/>
          <w:i/>
        </w:rPr>
        <w:t xml:space="preserve"> notes</w:t>
      </w:r>
    </w:p>
    <w:p w:rsidR="00DE7D72" w:rsidRDefault="00DE7D72" w:rsidP="00B11CBA">
      <w:pPr>
        <w:pStyle w:val="ListParagraph"/>
        <w:numPr>
          <w:ilvl w:val="0"/>
          <w:numId w:val="1"/>
        </w:numPr>
        <w:rPr>
          <w:i/>
        </w:rPr>
      </w:pPr>
      <w:r w:rsidRPr="009337C9">
        <w:rPr>
          <w:i/>
        </w:rPr>
        <w:t>Most submissions to PSPC used reasonable and comparable methodologies.</w:t>
      </w:r>
      <w:r w:rsidR="009E6CFA" w:rsidRPr="009337C9">
        <w:rPr>
          <w:i/>
        </w:rPr>
        <w:t xml:space="preserve"> Difference is in the assumptions and “there are many possible valid approaches to dec</w:t>
      </w:r>
      <w:r w:rsidR="00260F23">
        <w:rPr>
          <w:i/>
        </w:rPr>
        <w:t>iding upon economic assumptions</w:t>
      </w:r>
      <w:r w:rsidR="009E6CFA" w:rsidRPr="009337C9">
        <w:rPr>
          <w:i/>
        </w:rPr>
        <w:t>”</w:t>
      </w:r>
      <w:r w:rsidR="008153ED">
        <w:rPr>
          <w:i/>
        </w:rPr>
        <w:t xml:space="preserve"> </w:t>
      </w:r>
      <w:r w:rsidR="00260F23">
        <w:rPr>
          <w:i/>
        </w:rPr>
        <w:t xml:space="preserve">and </w:t>
      </w:r>
      <w:r w:rsidR="008153ED">
        <w:rPr>
          <w:i/>
        </w:rPr>
        <w:t>“</w:t>
      </w:r>
      <w:r w:rsidR="00260F23">
        <w:rPr>
          <w:i/>
        </w:rPr>
        <w:t>d</w:t>
      </w:r>
      <w:r w:rsidR="008153ED">
        <w:rPr>
          <w:i/>
        </w:rPr>
        <w:t>ifferent views can reasonably be taken.”</w:t>
      </w:r>
    </w:p>
    <w:p w:rsidR="009337C9" w:rsidRPr="009337C9" w:rsidRDefault="009337C9" w:rsidP="00B11CBA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Assumptions include longevity, relationship with state pension (and movements in state pension) and long-term investment returns.</w:t>
      </w:r>
    </w:p>
    <w:p w:rsidR="00953B15" w:rsidRPr="009337C9" w:rsidRDefault="00DE7D72" w:rsidP="00B11CBA">
      <w:pPr>
        <w:pStyle w:val="ListParagraph"/>
        <w:numPr>
          <w:ilvl w:val="0"/>
          <w:numId w:val="1"/>
        </w:numPr>
        <w:rPr>
          <w:i/>
        </w:rPr>
      </w:pPr>
      <w:r w:rsidRPr="009337C9">
        <w:rPr>
          <w:i/>
        </w:rPr>
        <w:t>Actuarial comparisons (inc</w:t>
      </w:r>
      <w:r w:rsidR="009337C9">
        <w:rPr>
          <w:i/>
        </w:rPr>
        <w:t>luding</w:t>
      </w:r>
      <w:r w:rsidRPr="009337C9">
        <w:rPr>
          <w:i/>
        </w:rPr>
        <w:t xml:space="preserve"> DPER’s) are with private sector organisations with occupational pension sc</w:t>
      </w:r>
      <w:r w:rsidR="00953B15" w:rsidRPr="009337C9">
        <w:rPr>
          <w:i/>
        </w:rPr>
        <w:t>hemes (DC and DB).</w:t>
      </w:r>
    </w:p>
    <w:p w:rsidR="00DE7D72" w:rsidRPr="009337C9" w:rsidRDefault="00DE7D72" w:rsidP="00B11CBA">
      <w:pPr>
        <w:pStyle w:val="ListParagraph"/>
        <w:numPr>
          <w:ilvl w:val="0"/>
          <w:numId w:val="1"/>
        </w:numPr>
        <w:rPr>
          <w:i/>
        </w:rPr>
      </w:pPr>
      <w:r w:rsidRPr="009337C9">
        <w:rPr>
          <w:i/>
        </w:rPr>
        <w:t>60% of private sector staff have no occupational pension</w:t>
      </w:r>
      <w:r w:rsidR="00953B15" w:rsidRPr="009337C9">
        <w:rPr>
          <w:i/>
        </w:rPr>
        <w:t>, but PSPC says this is a ‘broader societal matter’ and a reasonable comparison should be between public and p</w:t>
      </w:r>
      <w:r w:rsidR="009E6CFA" w:rsidRPr="009337C9">
        <w:rPr>
          <w:i/>
        </w:rPr>
        <w:t>rivate sector wor</w:t>
      </w:r>
      <w:r w:rsidR="00953B15" w:rsidRPr="009337C9">
        <w:rPr>
          <w:i/>
        </w:rPr>
        <w:t>k</w:t>
      </w:r>
      <w:r w:rsidR="009E6CFA" w:rsidRPr="009337C9">
        <w:rPr>
          <w:i/>
        </w:rPr>
        <w:t>ers with occu</w:t>
      </w:r>
      <w:r w:rsidR="00953B15" w:rsidRPr="009337C9">
        <w:rPr>
          <w:i/>
        </w:rPr>
        <w:t>pat</w:t>
      </w:r>
      <w:r w:rsidR="009E6CFA" w:rsidRPr="009337C9">
        <w:rPr>
          <w:i/>
        </w:rPr>
        <w:t>ional pensions</w:t>
      </w:r>
      <w:r w:rsidRPr="009337C9">
        <w:rPr>
          <w:i/>
        </w:rPr>
        <w:t>.</w:t>
      </w:r>
    </w:p>
    <w:p w:rsidR="00DE7D72" w:rsidRPr="009337C9" w:rsidRDefault="00DE7D72" w:rsidP="00B11CBA">
      <w:pPr>
        <w:pStyle w:val="ListParagraph"/>
        <w:numPr>
          <w:ilvl w:val="0"/>
          <w:numId w:val="1"/>
        </w:numPr>
        <w:rPr>
          <w:i/>
        </w:rPr>
      </w:pPr>
      <w:r w:rsidRPr="009337C9">
        <w:rPr>
          <w:i/>
        </w:rPr>
        <w:t>Milliman report (PSPC actuarial review) suggests a 13-1</w:t>
      </w:r>
      <w:r w:rsidR="00E67B94">
        <w:rPr>
          <w:i/>
        </w:rPr>
        <w:t>4% public-private differential.</w:t>
      </w:r>
    </w:p>
    <w:p w:rsidR="00B11CBA" w:rsidRPr="009337C9" w:rsidRDefault="00B11CBA" w:rsidP="00B11CBA">
      <w:pPr>
        <w:pStyle w:val="ListParagraph"/>
        <w:numPr>
          <w:ilvl w:val="0"/>
          <w:numId w:val="1"/>
        </w:numPr>
        <w:rPr>
          <w:i/>
        </w:rPr>
      </w:pPr>
      <w:r w:rsidRPr="009337C9">
        <w:rPr>
          <w:i/>
        </w:rPr>
        <w:t>50,000 members of post-2013 Single Public Service scheme.</w:t>
      </w:r>
    </w:p>
    <w:p w:rsidR="00B11CBA" w:rsidRDefault="00E67B94" w:rsidP="00B11CBA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243</w:t>
      </w:r>
      <w:r w:rsidR="00B11CBA" w:rsidRPr="009337C9">
        <w:rPr>
          <w:i/>
        </w:rPr>
        <w:t>,000 member of pre-2013 schemes.</w:t>
      </w:r>
    </w:p>
    <w:p w:rsidR="008153ED" w:rsidRPr="009337C9" w:rsidRDefault="008153ED" w:rsidP="00B11CBA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23,000 members of ‘fast-accrual’ schemes</w:t>
      </w:r>
    </w:p>
    <w:p w:rsidR="00080A72" w:rsidRPr="009337C9" w:rsidRDefault="00080A72" w:rsidP="00B11CBA">
      <w:pPr>
        <w:pStyle w:val="ListParagraph"/>
        <w:numPr>
          <w:ilvl w:val="0"/>
          <w:numId w:val="1"/>
        </w:numPr>
        <w:rPr>
          <w:i/>
        </w:rPr>
      </w:pPr>
      <w:r w:rsidRPr="009337C9">
        <w:rPr>
          <w:i/>
        </w:rPr>
        <w:t>The post-2013 single scheme differs by (1) employing career average (2) link to CPI (3) applying state pension minimum age.</w:t>
      </w:r>
    </w:p>
    <w:p w:rsidR="00B11CBA" w:rsidRPr="009337C9" w:rsidRDefault="00B11CBA" w:rsidP="00B11CBA">
      <w:pPr>
        <w:pStyle w:val="ListParagraph"/>
        <w:numPr>
          <w:ilvl w:val="0"/>
          <w:numId w:val="1"/>
        </w:numPr>
        <w:rPr>
          <w:i/>
        </w:rPr>
      </w:pPr>
      <w:r w:rsidRPr="009337C9">
        <w:rPr>
          <w:i/>
        </w:rPr>
        <w:t xml:space="preserve">12% of value </w:t>
      </w:r>
      <w:r w:rsidR="000318CE">
        <w:rPr>
          <w:i/>
        </w:rPr>
        <w:t xml:space="preserve">of pensions </w:t>
      </w:r>
      <w:r w:rsidR="00E67B94">
        <w:rPr>
          <w:i/>
        </w:rPr>
        <w:t xml:space="preserve">was </w:t>
      </w:r>
      <w:r w:rsidRPr="009337C9">
        <w:rPr>
          <w:i/>
        </w:rPr>
        <w:t xml:space="preserve">reflected in pay </w:t>
      </w:r>
      <w:r w:rsidR="007D3635">
        <w:rPr>
          <w:i/>
        </w:rPr>
        <w:t>level</w:t>
      </w:r>
      <w:r w:rsidR="00E67B94">
        <w:rPr>
          <w:i/>
        </w:rPr>
        <w:t>s in</w:t>
      </w:r>
      <w:r w:rsidRPr="009337C9">
        <w:rPr>
          <w:i/>
        </w:rPr>
        <w:t xml:space="preserve"> 2007.</w:t>
      </w:r>
    </w:p>
    <w:p w:rsidR="00080A72" w:rsidRPr="009337C9" w:rsidRDefault="00080A72" w:rsidP="00B11CBA">
      <w:pPr>
        <w:pStyle w:val="ListParagraph"/>
        <w:numPr>
          <w:ilvl w:val="0"/>
          <w:numId w:val="1"/>
        </w:numPr>
        <w:rPr>
          <w:i/>
        </w:rPr>
      </w:pPr>
      <w:r w:rsidRPr="009337C9">
        <w:rPr>
          <w:i/>
        </w:rPr>
        <w:t>Public sector pension bill doubled from €1.5bn to €3bn between 2008 and 2016, but exceptional circumstances at play (eg, spate of crisis-period retirements).</w:t>
      </w:r>
    </w:p>
    <w:p w:rsidR="00080A72" w:rsidRPr="009337C9" w:rsidRDefault="00080A72" w:rsidP="00B11CBA">
      <w:pPr>
        <w:pStyle w:val="ListParagraph"/>
        <w:numPr>
          <w:ilvl w:val="0"/>
          <w:numId w:val="1"/>
        </w:numPr>
        <w:rPr>
          <w:i/>
        </w:rPr>
      </w:pPr>
      <w:r w:rsidRPr="009337C9">
        <w:rPr>
          <w:i/>
        </w:rPr>
        <w:t>The 2012 future public service pension liability fell 16% to €98bn between 2009 and 2012.</w:t>
      </w:r>
    </w:p>
    <w:p w:rsidR="00B11CBA" w:rsidRPr="00B11CBA" w:rsidRDefault="00080A72" w:rsidP="00C205EC">
      <w:pPr>
        <w:pStyle w:val="ListParagraph"/>
        <w:numPr>
          <w:ilvl w:val="0"/>
          <w:numId w:val="1"/>
        </w:numPr>
      </w:pPr>
      <w:r w:rsidRPr="007D3635">
        <w:rPr>
          <w:i/>
        </w:rPr>
        <w:t>Public servants contrib</w:t>
      </w:r>
      <w:r w:rsidR="007D3635">
        <w:rPr>
          <w:i/>
        </w:rPr>
        <w:t>ute between €500m and €550m PA.</w:t>
      </w:r>
    </w:p>
    <w:p w:rsidR="00753642" w:rsidRDefault="00753642">
      <w:pPr>
        <w:rPr>
          <w:b/>
        </w:rPr>
      </w:pPr>
      <w:r>
        <w:rPr>
          <w:b/>
        </w:rPr>
        <w:br w:type="page"/>
      </w:r>
    </w:p>
    <w:p w:rsidR="00C205EC" w:rsidRDefault="00836CC4" w:rsidP="00C205EC">
      <w:r>
        <w:rPr>
          <w:b/>
        </w:rPr>
        <w:lastRenderedPageBreak/>
        <w:t>PAY</w:t>
      </w:r>
    </w:p>
    <w:p w:rsidR="00C205EC" w:rsidRDefault="00C205EC" w:rsidP="007714E9">
      <w:pPr>
        <w:pStyle w:val="ListParagraph"/>
        <w:numPr>
          <w:ilvl w:val="0"/>
          <w:numId w:val="2"/>
        </w:numPr>
      </w:pPr>
      <w:r>
        <w:t>By 2014, average public service pay “approaching parity” with private sector earnings (when you take account relevant characteristics like education, experience, etc).</w:t>
      </w:r>
    </w:p>
    <w:p w:rsidR="007714E9" w:rsidRDefault="007714E9" w:rsidP="007714E9">
      <w:pPr>
        <w:pStyle w:val="ListParagraph"/>
        <w:numPr>
          <w:ilvl w:val="0"/>
          <w:numId w:val="2"/>
        </w:numPr>
      </w:pPr>
      <w:r>
        <w:t>Public service earnings trail the private sector at higher pay levels, and outpace the private sector at lower levels.</w:t>
      </w:r>
    </w:p>
    <w:p w:rsidR="007714E9" w:rsidRDefault="007714E9" w:rsidP="007714E9">
      <w:pPr>
        <w:pStyle w:val="ListParagraph"/>
        <w:numPr>
          <w:ilvl w:val="0"/>
          <w:numId w:val="2"/>
        </w:numPr>
      </w:pPr>
      <w:r>
        <w:t>In recent years, private sector pay settlements have been between 1.5% and 2.5% PA, depending on sector and ability to pay.</w:t>
      </w:r>
      <w:r w:rsidR="00EA2510">
        <w:t xml:space="preserve"> For large companies, average increase over last two years was 2.5%.</w:t>
      </w:r>
    </w:p>
    <w:p w:rsidR="00AC7671" w:rsidRDefault="00AC7671" w:rsidP="007714E9">
      <w:pPr>
        <w:pStyle w:val="ListParagraph"/>
        <w:numPr>
          <w:ilvl w:val="0"/>
          <w:numId w:val="2"/>
        </w:numPr>
      </w:pPr>
      <w:r>
        <w:t>Public service pay adjustments must be contingent on the delivery of reform and continuous improvement.</w:t>
      </w:r>
    </w:p>
    <w:p w:rsidR="007714E9" w:rsidRDefault="007714E9" w:rsidP="007714E9"/>
    <w:p w:rsidR="007B6D41" w:rsidRDefault="007B6D41" w:rsidP="007B6D41">
      <w:pPr>
        <w:rPr>
          <w:b/>
          <w:i/>
        </w:rPr>
      </w:pPr>
      <w:r w:rsidRPr="00B11CBA">
        <w:rPr>
          <w:b/>
          <w:i/>
        </w:rPr>
        <w:t>P</w:t>
      </w:r>
      <w:r>
        <w:rPr>
          <w:b/>
          <w:i/>
        </w:rPr>
        <w:t>ay</w:t>
      </w:r>
      <w:r w:rsidRPr="00B11CBA">
        <w:rPr>
          <w:b/>
          <w:i/>
        </w:rPr>
        <w:t>: supplementary</w:t>
      </w:r>
      <w:r>
        <w:rPr>
          <w:b/>
          <w:i/>
        </w:rPr>
        <w:t xml:space="preserve"> notes</w:t>
      </w:r>
    </w:p>
    <w:p w:rsidR="000318CE" w:rsidRPr="000318CE" w:rsidRDefault="00F636DE" w:rsidP="000318CE">
      <w:pPr>
        <w:pStyle w:val="ListParagraph"/>
        <w:numPr>
          <w:ilvl w:val="0"/>
          <w:numId w:val="7"/>
        </w:numPr>
        <w:rPr>
          <w:i/>
        </w:rPr>
      </w:pPr>
      <w:r>
        <w:rPr>
          <w:i/>
        </w:rPr>
        <w:t>Gross public service pay bill (net of PRD) fell 9% between 2007 and 2016 – down to €15.6bn from €16.6bn.</w:t>
      </w:r>
    </w:p>
    <w:p w:rsidR="007B6D41" w:rsidRPr="007B6D41" w:rsidRDefault="007B6D41" w:rsidP="007B6D41">
      <w:pPr>
        <w:pStyle w:val="ListParagraph"/>
        <w:numPr>
          <w:ilvl w:val="0"/>
          <w:numId w:val="7"/>
        </w:numPr>
      </w:pPr>
      <w:r w:rsidRPr="007B6D41">
        <w:rPr>
          <w:i/>
        </w:rPr>
        <w:t>Av</w:t>
      </w:r>
      <w:r w:rsidR="007D3635">
        <w:rPr>
          <w:i/>
        </w:rPr>
        <w:t>erage private sector pay was 3</w:t>
      </w:r>
      <w:r w:rsidRPr="007B6D41">
        <w:rPr>
          <w:i/>
        </w:rPr>
        <w:t>% above 2008 levels in 2016. Public service pay was 8% below</w:t>
      </w:r>
      <w:r w:rsidR="000318CE">
        <w:rPr>
          <w:i/>
        </w:rPr>
        <w:t xml:space="preserve"> </w:t>
      </w:r>
      <w:r w:rsidR="000318CE" w:rsidRPr="007B6D41">
        <w:rPr>
          <w:i/>
        </w:rPr>
        <w:t>2008 levels in 2016</w:t>
      </w:r>
      <w:r w:rsidRPr="007B6D41">
        <w:rPr>
          <w:i/>
        </w:rPr>
        <w:t>.</w:t>
      </w:r>
      <w:r w:rsidR="00F357D3">
        <w:rPr>
          <w:i/>
        </w:rPr>
        <w:t xml:space="preserve"> LRA will increase public sector e</w:t>
      </w:r>
      <w:r w:rsidR="000318CE">
        <w:rPr>
          <w:i/>
        </w:rPr>
        <w:t>arnings by 1.7% by 2018 (making them</w:t>
      </w:r>
      <w:r w:rsidR="00F357D3">
        <w:rPr>
          <w:i/>
        </w:rPr>
        <w:t xml:space="preserve"> 6.5% lower in 2018 than in 2008).</w:t>
      </w:r>
    </w:p>
    <w:p w:rsidR="007B6D41" w:rsidRPr="009A34CD" w:rsidRDefault="007B6D41" w:rsidP="007B6D41">
      <w:pPr>
        <w:pStyle w:val="ListParagraph"/>
        <w:numPr>
          <w:ilvl w:val="0"/>
          <w:numId w:val="7"/>
        </w:numPr>
      </w:pPr>
      <w:r>
        <w:rPr>
          <w:i/>
        </w:rPr>
        <w:t>The public sector average earnings premium has decline</w:t>
      </w:r>
      <w:r w:rsidR="000318CE">
        <w:rPr>
          <w:i/>
        </w:rPr>
        <w:t>d</w:t>
      </w:r>
      <w:r>
        <w:rPr>
          <w:i/>
        </w:rPr>
        <w:t xml:space="preserve"> and is approaching zero.</w:t>
      </w:r>
    </w:p>
    <w:p w:rsidR="009A34CD" w:rsidRPr="00F357D3" w:rsidRDefault="009A34CD" w:rsidP="007B6D41">
      <w:pPr>
        <w:pStyle w:val="ListParagraph"/>
        <w:numPr>
          <w:ilvl w:val="0"/>
          <w:numId w:val="7"/>
        </w:numPr>
      </w:pPr>
      <w:r>
        <w:rPr>
          <w:i/>
        </w:rPr>
        <w:t>There is still a public service premium at the lower end of earnings</w:t>
      </w:r>
      <w:r w:rsidR="000318CE">
        <w:rPr>
          <w:i/>
        </w:rPr>
        <w:t>,</w:t>
      </w:r>
      <w:r>
        <w:rPr>
          <w:i/>
        </w:rPr>
        <w:t xml:space="preserve"> and for women.</w:t>
      </w:r>
    </w:p>
    <w:p w:rsidR="00F357D3" w:rsidRPr="007F5BB3" w:rsidRDefault="00F357D3" w:rsidP="007B6D41">
      <w:pPr>
        <w:pStyle w:val="ListParagraph"/>
        <w:numPr>
          <w:ilvl w:val="0"/>
          <w:numId w:val="7"/>
        </w:numPr>
      </w:pPr>
      <w:r>
        <w:rPr>
          <w:i/>
        </w:rPr>
        <w:t>Differences in earnings across sectors (including public-private) are due to characteristics of enterprises (eg, size, sector) and characteristics of employees (eg, gender, age, education, qual</w:t>
      </w:r>
      <w:r w:rsidR="00861075">
        <w:rPr>
          <w:i/>
        </w:rPr>
        <w:t>ification</w:t>
      </w:r>
      <w:r>
        <w:rPr>
          <w:i/>
        </w:rPr>
        <w:t>s, responsibility, experience, length of service, occupation).</w:t>
      </w:r>
    </w:p>
    <w:p w:rsidR="007F5BB3" w:rsidRPr="007F5BB3" w:rsidRDefault="007F5BB3" w:rsidP="007B6D41">
      <w:pPr>
        <w:pStyle w:val="ListParagraph"/>
        <w:numPr>
          <w:ilvl w:val="0"/>
          <w:numId w:val="7"/>
        </w:numPr>
      </w:pPr>
      <w:r>
        <w:rPr>
          <w:i/>
        </w:rPr>
        <w:t xml:space="preserve">Earnings distribution: In private sector, those in top decile earn 6.9 times </w:t>
      </w:r>
      <w:r w:rsidR="000318CE">
        <w:rPr>
          <w:i/>
        </w:rPr>
        <w:t xml:space="preserve">more than </w:t>
      </w:r>
      <w:r>
        <w:rPr>
          <w:i/>
        </w:rPr>
        <w:t>those in bottom</w:t>
      </w:r>
      <w:r w:rsidR="000318CE">
        <w:rPr>
          <w:i/>
        </w:rPr>
        <w:t xml:space="preserve"> decile</w:t>
      </w:r>
      <w:r>
        <w:rPr>
          <w:i/>
        </w:rPr>
        <w:t>. I</w:t>
      </w:r>
      <w:r w:rsidR="000318CE">
        <w:rPr>
          <w:i/>
        </w:rPr>
        <w:t>n</w:t>
      </w:r>
      <w:r>
        <w:rPr>
          <w:i/>
        </w:rPr>
        <w:t xml:space="preserve"> public service the difference is 3.6 times.</w:t>
      </w:r>
    </w:p>
    <w:p w:rsidR="00BB110B" w:rsidRPr="00BB110B" w:rsidRDefault="007F5BB3" w:rsidP="00BB110B">
      <w:pPr>
        <w:pStyle w:val="ListParagraph"/>
        <w:numPr>
          <w:ilvl w:val="0"/>
          <w:numId w:val="7"/>
        </w:numPr>
      </w:pPr>
      <w:r>
        <w:rPr>
          <w:i/>
        </w:rPr>
        <w:t>2007-2010: Private sector saw largest pay reductions among lowest earners, and smallest reductions for highest earners. Opposite pattern in public service.</w:t>
      </w:r>
    </w:p>
    <w:p w:rsidR="00BB110B" w:rsidRPr="007B6D41" w:rsidRDefault="00BB110B" w:rsidP="00BB110B">
      <w:pPr>
        <w:pStyle w:val="ListParagraph"/>
        <w:numPr>
          <w:ilvl w:val="0"/>
          <w:numId w:val="7"/>
        </w:numPr>
      </w:pPr>
      <w:r>
        <w:rPr>
          <w:i/>
        </w:rPr>
        <w:t xml:space="preserve">Public-private studies examined by PSPC take no account of </w:t>
      </w:r>
      <w:r w:rsidR="00997722">
        <w:rPr>
          <w:i/>
        </w:rPr>
        <w:t xml:space="preserve">PRD or </w:t>
      </w:r>
      <w:r>
        <w:rPr>
          <w:i/>
        </w:rPr>
        <w:t>company size. Models control for union membership between 2002 and 2014, but not in earlier years.</w:t>
      </w:r>
      <w:r w:rsidR="00997722">
        <w:rPr>
          <w:i/>
        </w:rPr>
        <w:t xml:space="preserve"> </w:t>
      </w:r>
      <w:r w:rsidR="002F56D7">
        <w:rPr>
          <w:i/>
        </w:rPr>
        <w:t xml:space="preserve">The figures suggest </w:t>
      </w:r>
      <w:r w:rsidR="00997722">
        <w:rPr>
          <w:i/>
        </w:rPr>
        <w:t xml:space="preserve">trade union </w:t>
      </w:r>
      <w:r w:rsidR="002F56D7">
        <w:rPr>
          <w:i/>
        </w:rPr>
        <w:t xml:space="preserve">membership delivers a pay premium of </w:t>
      </w:r>
      <w:r w:rsidR="00997722">
        <w:rPr>
          <w:i/>
        </w:rPr>
        <w:t>6%.</w:t>
      </w:r>
    </w:p>
    <w:p w:rsidR="007B6D41" w:rsidRDefault="007B6D41" w:rsidP="007714E9"/>
    <w:p w:rsidR="007D3635" w:rsidRDefault="00836CC4" w:rsidP="007714E9">
      <w:r>
        <w:rPr>
          <w:b/>
        </w:rPr>
        <w:t>INCREMENTS</w:t>
      </w:r>
    </w:p>
    <w:p w:rsidR="007D3635" w:rsidRDefault="007D3635" w:rsidP="007D3635">
      <w:pPr>
        <w:pStyle w:val="ListParagraph"/>
        <w:numPr>
          <w:ilvl w:val="0"/>
          <w:numId w:val="14"/>
        </w:numPr>
      </w:pPr>
      <w:r>
        <w:t>On average, public servants receive “significantly lower gains in earnings” for each additional year of experience compared to private sector counterparts with similar experience.</w:t>
      </w:r>
    </w:p>
    <w:p w:rsidR="007D3635" w:rsidRDefault="007D3635" w:rsidP="007D3635">
      <w:pPr>
        <w:pStyle w:val="ListParagraph"/>
      </w:pPr>
    </w:p>
    <w:p w:rsidR="00861075" w:rsidRDefault="00836CC4" w:rsidP="007714E9">
      <w:r>
        <w:rPr>
          <w:b/>
        </w:rPr>
        <w:t>NEW ENTRANTS’ PAY</w:t>
      </w:r>
    </w:p>
    <w:p w:rsidR="003452A6" w:rsidRDefault="003452A6" w:rsidP="003452A6">
      <w:pPr>
        <w:pStyle w:val="ListParagraph"/>
        <w:numPr>
          <w:ilvl w:val="0"/>
          <w:numId w:val="13"/>
        </w:numPr>
      </w:pPr>
      <w:r>
        <w:t>Recurring theme in submission</w:t>
      </w:r>
      <w:r w:rsidR="005B1D92">
        <w:t>s</w:t>
      </w:r>
      <w:r>
        <w:t xml:space="preserve"> and a significant matter “on equity grounds” for cohorts concerned, but differences between employees, in pay and superannuation, not confined to public service.</w:t>
      </w:r>
    </w:p>
    <w:p w:rsidR="00E253E5" w:rsidRPr="00E253E5" w:rsidRDefault="00E253E5" w:rsidP="00E253E5">
      <w:pPr>
        <w:pStyle w:val="ListParagraph"/>
        <w:numPr>
          <w:ilvl w:val="0"/>
          <w:numId w:val="13"/>
        </w:numPr>
      </w:pPr>
      <w:r w:rsidRPr="00E253E5">
        <w:t>“We found no evidence to support the view that reduced rates for new entrants represents a barrier to recruitment to the public service in general.”</w:t>
      </w:r>
    </w:p>
    <w:p w:rsidR="00861075" w:rsidRPr="00861075" w:rsidRDefault="003452A6" w:rsidP="003452A6">
      <w:pPr>
        <w:pStyle w:val="ListParagraph"/>
        <w:numPr>
          <w:ilvl w:val="0"/>
          <w:numId w:val="13"/>
        </w:numPr>
      </w:pPr>
      <w:r>
        <w:t xml:space="preserve">Where they exist, recruitment problems should </w:t>
      </w:r>
      <w:r w:rsidR="005B1D92">
        <w:t>receive</w:t>
      </w:r>
      <w:r>
        <w:t xml:space="preserve"> separate comprehensive examination.</w:t>
      </w:r>
    </w:p>
    <w:p w:rsidR="00861075" w:rsidRDefault="00861075" w:rsidP="007714E9"/>
    <w:p w:rsidR="00085173" w:rsidRDefault="00836CC4" w:rsidP="007714E9">
      <w:pPr>
        <w:rPr>
          <w:b/>
        </w:rPr>
      </w:pPr>
      <w:r>
        <w:rPr>
          <w:b/>
        </w:rPr>
        <w:t>INTERNATIONAL PAY COMPARISONS</w:t>
      </w:r>
    </w:p>
    <w:p w:rsidR="00085173" w:rsidRDefault="00085173" w:rsidP="00085173">
      <w:pPr>
        <w:pStyle w:val="ListParagraph"/>
        <w:numPr>
          <w:ilvl w:val="0"/>
          <w:numId w:val="2"/>
        </w:numPr>
      </w:pPr>
      <w:r>
        <w:t>Difficult to draw definitive conclusions on International comparisons because of methodological differences in the data.</w:t>
      </w:r>
    </w:p>
    <w:p w:rsidR="00085173" w:rsidRDefault="005B1D92" w:rsidP="00085173">
      <w:pPr>
        <w:pStyle w:val="ListParagraph"/>
        <w:numPr>
          <w:ilvl w:val="0"/>
          <w:numId w:val="2"/>
        </w:numPr>
      </w:pPr>
      <w:r>
        <w:t xml:space="preserve">PSPC </w:t>
      </w:r>
      <w:r w:rsidR="00085173">
        <w:t>analysis is not ‘like for like,</w:t>
      </w:r>
      <w:r>
        <w:t>’</w:t>
      </w:r>
      <w:r w:rsidR="00085173">
        <w:t xml:space="preserve"> and do</w:t>
      </w:r>
      <w:r>
        <w:t xml:space="preserve">esn’t </w:t>
      </w:r>
      <w:r w:rsidR="00085173">
        <w:t>include PRD, tax, social insurance or other deductions.</w:t>
      </w:r>
    </w:p>
    <w:p w:rsidR="00753642" w:rsidRDefault="00753642" w:rsidP="00753642">
      <w:pPr>
        <w:pStyle w:val="ListParagraph"/>
      </w:pPr>
    </w:p>
    <w:p w:rsidR="00753642" w:rsidRPr="00753642" w:rsidRDefault="00753642" w:rsidP="00753642">
      <w:pPr>
        <w:rPr>
          <w:b/>
          <w:i/>
        </w:rPr>
      </w:pPr>
      <w:r w:rsidRPr="00753642">
        <w:rPr>
          <w:b/>
          <w:i/>
        </w:rPr>
        <w:t>International pay comparisons: supplementary notes</w:t>
      </w:r>
    </w:p>
    <w:p w:rsidR="00085173" w:rsidRPr="007B6D41" w:rsidRDefault="00085173" w:rsidP="00085173">
      <w:pPr>
        <w:pStyle w:val="ListParagraph"/>
        <w:numPr>
          <w:ilvl w:val="0"/>
          <w:numId w:val="7"/>
        </w:numPr>
      </w:pPr>
      <w:r>
        <w:rPr>
          <w:i/>
        </w:rPr>
        <w:t>In predominantly public service sectors, Irish earnings are “among the highest” compared to similar EU and EFTA countries.</w:t>
      </w:r>
    </w:p>
    <w:p w:rsidR="007B6D41" w:rsidRDefault="007B6D41" w:rsidP="007714E9"/>
    <w:p w:rsidR="00836CC4" w:rsidRDefault="00836CC4" w:rsidP="007714E9">
      <w:pPr>
        <w:rPr>
          <w:b/>
        </w:rPr>
      </w:pPr>
    </w:p>
    <w:p w:rsidR="007714E9" w:rsidRPr="00DA70DE" w:rsidRDefault="00836CC4" w:rsidP="007714E9">
      <w:pPr>
        <w:rPr>
          <w:b/>
        </w:rPr>
      </w:pPr>
      <w:r>
        <w:rPr>
          <w:b/>
        </w:rPr>
        <w:t>SECURITY OF TENURE</w:t>
      </w:r>
    </w:p>
    <w:p w:rsidR="00DA70DE" w:rsidRDefault="00DA70DE" w:rsidP="00C175E6">
      <w:pPr>
        <w:pStyle w:val="ListParagraph"/>
        <w:numPr>
          <w:ilvl w:val="0"/>
          <w:numId w:val="3"/>
        </w:numPr>
      </w:pPr>
      <w:r>
        <w:t xml:space="preserve">Security of tenure has a value, but there is no satisfactory scientific evidence that could reasonably be used to put a </w:t>
      </w:r>
      <w:r w:rsidR="007D24B2">
        <w:t xml:space="preserve">specific monetary </w:t>
      </w:r>
      <w:r>
        <w:t>value on it.</w:t>
      </w:r>
    </w:p>
    <w:p w:rsidR="00DA70DE" w:rsidRDefault="00DA70DE" w:rsidP="00C175E6">
      <w:pPr>
        <w:pStyle w:val="ListParagraph"/>
        <w:numPr>
          <w:ilvl w:val="0"/>
          <w:numId w:val="3"/>
        </w:numPr>
      </w:pPr>
      <w:r>
        <w:t xml:space="preserve">Increased prevalence of public service fixed term/service contracts means security of tenure is “not a feature intrinsic to public service employment or extrinsic to private sector employment.” </w:t>
      </w:r>
    </w:p>
    <w:p w:rsidR="00DA70DE" w:rsidRDefault="00DA70DE" w:rsidP="00C175E6">
      <w:pPr>
        <w:pStyle w:val="ListParagraph"/>
        <w:numPr>
          <w:ilvl w:val="0"/>
          <w:numId w:val="3"/>
        </w:numPr>
      </w:pPr>
      <w:r>
        <w:t xml:space="preserve">However, public servants on permanent contracts are </w:t>
      </w:r>
      <w:r w:rsidR="00836CC4">
        <w:t xml:space="preserve">generally </w:t>
      </w:r>
      <w:r>
        <w:t>at lower risk of compulsory redundancy than those in the private sector.</w:t>
      </w:r>
    </w:p>
    <w:p w:rsidR="00DA70DE" w:rsidRDefault="00DA70DE" w:rsidP="00C175E6">
      <w:pPr>
        <w:pStyle w:val="ListParagraph"/>
        <w:numPr>
          <w:ilvl w:val="0"/>
          <w:numId w:val="3"/>
        </w:numPr>
      </w:pPr>
      <w:r>
        <w:t xml:space="preserve">Security of tenure also </w:t>
      </w:r>
      <w:r w:rsidR="00C175E6">
        <w:t>has a value to employers – recruitment, retention, retaining skills post-training, public want experienced staff with appropriate expertise.</w:t>
      </w:r>
    </w:p>
    <w:p w:rsidR="00DA70DE" w:rsidRDefault="00836CC4" w:rsidP="00C175E6">
      <w:pPr>
        <w:pStyle w:val="ListParagraph"/>
        <w:numPr>
          <w:ilvl w:val="0"/>
          <w:numId w:val="3"/>
        </w:numPr>
      </w:pPr>
      <w:r>
        <w:t>The PSPC n</w:t>
      </w:r>
      <w:r w:rsidR="00C175E6">
        <w:t>otes PSC argument that all concessions made since 2010 (Croke Park) motivated by desire to protect employment, and it would be unacceptable to use this against.</w:t>
      </w:r>
    </w:p>
    <w:p w:rsidR="002220E9" w:rsidRDefault="002220E9" w:rsidP="002220E9">
      <w:pPr>
        <w:pStyle w:val="ListParagraph"/>
      </w:pPr>
    </w:p>
    <w:p w:rsidR="002220E9" w:rsidRDefault="002220E9" w:rsidP="002220E9">
      <w:pPr>
        <w:pStyle w:val="ListParagraph"/>
      </w:pPr>
    </w:p>
    <w:p w:rsidR="00C175E6" w:rsidRDefault="00836CC4" w:rsidP="00C175E6">
      <w:r>
        <w:rPr>
          <w:b/>
        </w:rPr>
        <w:t>RECRUITMENT AND RETENTION</w:t>
      </w:r>
    </w:p>
    <w:p w:rsidR="00C175E6" w:rsidRDefault="00C175E6" w:rsidP="00C175E6">
      <w:pPr>
        <w:pStyle w:val="ListParagraph"/>
        <w:numPr>
          <w:ilvl w:val="0"/>
          <w:numId w:val="4"/>
        </w:numPr>
      </w:pPr>
      <w:r>
        <w:t>No significant recruitment difficulties in the large</w:t>
      </w:r>
      <w:r w:rsidR="004A30AB">
        <w:t>-</w:t>
      </w:r>
      <w:r>
        <w:t xml:space="preserve">scale </w:t>
      </w:r>
      <w:r w:rsidR="00753642">
        <w:t xml:space="preserve">public service </w:t>
      </w:r>
      <w:r>
        <w:t xml:space="preserve">vocational streams, but some problems in specific </w:t>
      </w:r>
      <w:r w:rsidR="004A30AB">
        <w:t>area</w:t>
      </w:r>
      <w:r>
        <w:t>s including ‘internationally traded’ groups, particularly in the health sector.</w:t>
      </w:r>
      <w:r w:rsidR="00A93526">
        <w:t xml:space="preserve"> But remuneration not the only factor.</w:t>
      </w:r>
    </w:p>
    <w:p w:rsidR="00C175E6" w:rsidRDefault="00C175E6" w:rsidP="00C175E6">
      <w:pPr>
        <w:pStyle w:val="ListParagraph"/>
        <w:numPr>
          <w:ilvl w:val="0"/>
          <w:numId w:val="4"/>
        </w:numPr>
      </w:pPr>
      <w:r>
        <w:t>Argument for revisiting previous flexibilities in pay scales in specialist and scarce areas, and for examining structural and organisational recruitment constraints.</w:t>
      </w:r>
    </w:p>
    <w:p w:rsidR="00C175E6" w:rsidRDefault="00C175E6" w:rsidP="00C175E6">
      <w:pPr>
        <w:pStyle w:val="ListParagraph"/>
        <w:numPr>
          <w:ilvl w:val="0"/>
          <w:numId w:val="4"/>
        </w:numPr>
      </w:pPr>
      <w:r>
        <w:t xml:space="preserve">Evidence of difficulties attracting </w:t>
      </w:r>
      <w:r w:rsidR="004A30AB">
        <w:t xml:space="preserve">candidates </w:t>
      </w:r>
      <w:r>
        <w:t>for senior leadership positions. Nee</w:t>
      </w:r>
      <w:r w:rsidR="00D7303C">
        <w:t>d to examine structural issues.</w:t>
      </w:r>
    </w:p>
    <w:p w:rsidR="00D7303C" w:rsidRDefault="00D7303C" w:rsidP="00C175E6">
      <w:pPr>
        <w:pStyle w:val="ListParagraph"/>
        <w:numPr>
          <w:ilvl w:val="0"/>
          <w:numId w:val="4"/>
        </w:numPr>
      </w:pPr>
      <w:r>
        <w:t>Areas where problems identified: psychologists and paramedics; top health management and consultants; mental health nursing and other specific nursing areas; radiography; public dentistry; various specific defence areas including aviation; senior execs and specialist</w:t>
      </w:r>
      <w:r w:rsidR="004A30AB">
        <w:t>s</w:t>
      </w:r>
      <w:r>
        <w:t xml:space="preserve"> across civil and public service.</w:t>
      </w:r>
    </w:p>
    <w:p w:rsidR="00C175E6" w:rsidRDefault="00C175E6" w:rsidP="00C175E6">
      <w:pPr>
        <w:pStyle w:val="ListParagraph"/>
        <w:numPr>
          <w:ilvl w:val="0"/>
          <w:numId w:val="4"/>
        </w:numPr>
      </w:pPr>
      <w:r>
        <w:t>Should consider commissioning a more comprehensive examination of underlying difficulties, where they exist.</w:t>
      </w:r>
    </w:p>
    <w:p w:rsidR="00793C6D" w:rsidRDefault="00793C6D" w:rsidP="00C175E6">
      <w:pPr>
        <w:pStyle w:val="ListParagraph"/>
        <w:numPr>
          <w:ilvl w:val="0"/>
          <w:numId w:val="4"/>
        </w:numPr>
      </w:pPr>
      <w:r>
        <w:t>In areas of recruitment difficulty, pay talks could examine measures like entry above minimum point, accelerated incremen</w:t>
      </w:r>
      <w:r w:rsidR="007D24B2">
        <w:t>tal progression and allowances</w:t>
      </w:r>
      <w:r>
        <w:t>.</w:t>
      </w:r>
    </w:p>
    <w:p w:rsidR="00B671D6" w:rsidRDefault="00B671D6" w:rsidP="00B671D6">
      <w:pPr>
        <w:pStyle w:val="ListParagraph"/>
        <w:numPr>
          <w:ilvl w:val="0"/>
          <w:numId w:val="4"/>
        </w:numPr>
      </w:pPr>
      <w:r>
        <w:t>It “may be appropriate” to revisit €200,000 ceiling on senior public service pay</w:t>
      </w:r>
      <w:r w:rsidR="002220E9">
        <w:t>, though pay isn’t the only issue causing recruitment difficulties</w:t>
      </w:r>
      <w:r>
        <w:t>.</w:t>
      </w:r>
    </w:p>
    <w:p w:rsidR="00C175E6" w:rsidRDefault="00C175E6" w:rsidP="00C175E6"/>
    <w:p w:rsidR="00753642" w:rsidRPr="00753642" w:rsidRDefault="00753642" w:rsidP="00753642">
      <w:pPr>
        <w:rPr>
          <w:b/>
          <w:i/>
        </w:rPr>
      </w:pPr>
      <w:r>
        <w:rPr>
          <w:b/>
          <w:i/>
        </w:rPr>
        <w:t>Recruitment and retention</w:t>
      </w:r>
      <w:r w:rsidRPr="00753642">
        <w:rPr>
          <w:b/>
          <w:i/>
        </w:rPr>
        <w:t>: supplementary notes</w:t>
      </w:r>
    </w:p>
    <w:p w:rsidR="00997ED7" w:rsidRDefault="00290B8C" w:rsidP="00290B8C">
      <w:pPr>
        <w:pStyle w:val="ListParagraph"/>
        <w:numPr>
          <w:ilvl w:val="0"/>
          <w:numId w:val="9"/>
        </w:numPr>
        <w:rPr>
          <w:i/>
        </w:rPr>
      </w:pPr>
      <w:r>
        <w:rPr>
          <w:i/>
        </w:rPr>
        <w:t>Numbers fell to 288,300 in 2013 (10% fall); now 306,570.</w:t>
      </w:r>
      <w:r w:rsidR="00317DF8">
        <w:rPr>
          <w:i/>
        </w:rPr>
        <w:t xml:space="preserve"> Biggest percentage fall in local gov</w:t>
      </w:r>
      <w:r w:rsidR="00760302">
        <w:rPr>
          <w:i/>
        </w:rPr>
        <w:t>ernmen</w:t>
      </w:r>
      <w:r w:rsidR="00317DF8">
        <w:rPr>
          <w:i/>
        </w:rPr>
        <w:t>t (still falling)</w:t>
      </w:r>
      <w:r w:rsidR="00997ED7">
        <w:rPr>
          <w:i/>
        </w:rPr>
        <w:t>.</w:t>
      </w:r>
    </w:p>
    <w:p w:rsidR="00290B8C" w:rsidRDefault="00317DF8" w:rsidP="00290B8C">
      <w:pPr>
        <w:pStyle w:val="ListParagraph"/>
        <w:numPr>
          <w:ilvl w:val="0"/>
          <w:numId w:val="9"/>
        </w:numPr>
        <w:rPr>
          <w:i/>
        </w:rPr>
      </w:pPr>
      <w:r>
        <w:rPr>
          <w:i/>
        </w:rPr>
        <w:t>Health and educat</w:t>
      </w:r>
      <w:r w:rsidR="00760302">
        <w:rPr>
          <w:i/>
        </w:rPr>
        <w:t>ion biggest increase since 2013 (10% increase in health since 2013 including: 11% management/admin, 13% AHP/social care; 5% nursing; 19% other patient and client care)</w:t>
      </w:r>
      <w:r w:rsidR="00997ED7">
        <w:rPr>
          <w:i/>
        </w:rPr>
        <w:t>.</w:t>
      </w:r>
    </w:p>
    <w:p w:rsidR="00997ED7" w:rsidRDefault="00997ED7" w:rsidP="00290B8C">
      <w:pPr>
        <w:pStyle w:val="ListParagraph"/>
        <w:numPr>
          <w:ilvl w:val="0"/>
          <w:numId w:val="9"/>
        </w:numPr>
        <w:rPr>
          <w:i/>
        </w:rPr>
      </w:pPr>
      <w:r>
        <w:rPr>
          <w:i/>
        </w:rPr>
        <w:t>Health management/admin fell 16.2% between 2007-2014 (compared to 12.3% all grades, 12.3% nursing and 13.1% AHP/social care). Biggest drop except general support staff (27.9%).</w:t>
      </w:r>
    </w:p>
    <w:p w:rsidR="00A54B7F" w:rsidRDefault="00A54B7F" w:rsidP="00290B8C">
      <w:pPr>
        <w:pStyle w:val="ListParagraph"/>
        <w:numPr>
          <w:ilvl w:val="0"/>
          <w:numId w:val="9"/>
        </w:numPr>
        <w:rPr>
          <w:i/>
        </w:rPr>
      </w:pPr>
      <w:r>
        <w:rPr>
          <w:i/>
        </w:rPr>
        <w:t>Health turnover rates significantly lower if trainees (including student nurses) excluded. And they are distorted by movement within the health sector.</w:t>
      </w:r>
    </w:p>
    <w:p w:rsidR="00C26F34" w:rsidRDefault="00C26F34" w:rsidP="00290B8C">
      <w:pPr>
        <w:pStyle w:val="ListParagraph"/>
        <w:numPr>
          <w:ilvl w:val="0"/>
          <w:numId w:val="9"/>
        </w:numPr>
        <w:rPr>
          <w:i/>
        </w:rPr>
      </w:pPr>
      <w:r>
        <w:rPr>
          <w:i/>
        </w:rPr>
        <w:t>PAS says civil service specialists can earn “at least” 30% more outside civil service.</w:t>
      </w:r>
    </w:p>
    <w:p w:rsidR="00C26F34" w:rsidRDefault="00C26F34" w:rsidP="00C26F34">
      <w:pPr>
        <w:pStyle w:val="ListParagraph"/>
        <w:numPr>
          <w:ilvl w:val="0"/>
          <w:numId w:val="9"/>
        </w:numPr>
        <w:rPr>
          <w:i/>
        </w:rPr>
      </w:pPr>
      <w:r>
        <w:rPr>
          <w:i/>
        </w:rPr>
        <w:t>Challenge to attract executive</w:t>
      </w:r>
      <w:r w:rsidR="00E253E5">
        <w:rPr>
          <w:i/>
        </w:rPr>
        <w:t>s</w:t>
      </w:r>
      <w:r>
        <w:rPr>
          <w:i/>
        </w:rPr>
        <w:t xml:space="preserve"> across </w:t>
      </w:r>
      <w:r w:rsidR="00E253E5">
        <w:rPr>
          <w:i/>
        </w:rPr>
        <w:t xml:space="preserve">the </w:t>
      </w:r>
      <w:r>
        <w:rPr>
          <w:i/>
        </w:rPr>
        <w:t>civil and public service. Pension no longer seen as incentive, and lack of performance bonus, car and health package</w:t>
      </w:r>
      <w:r w:rsidR="00E253E5">
        <w:rPr>
          <w:i/>
        </w:rPr>
        <w:t>s</w:t>
      </w:r>
      <w:r>
        <w:rPr>
          <w:i/>
        </w:rPr>
        <w:t xml:space="preserve"> identified by PAS as disincentives.</w:t>
      </w:r>
      <w:r w:rsidR="000639B5">
        <w:rPr>
          <w:i/>
        </w:rPr>
        <w:t xml:space="preserve"> Number of private sector applicants for top posts down to 22% in 2015, from 45% in 2014.</w:t>
      </w:r>
    </w:p>
    <w:p w:rsidR="00AC521F" w:rsidRDefault="00AC521F" w:rsidP="00290B8C">
      <w:pPr>
        <w:pStyle w:val="ListParagraph"/>
        <w:numPr>
          <w:ilvl w:val="0"/>
          <w:numId w:val="9"/>
        </w:numPr>
        <w:rPr>
          <w:i/>
        </w:rPr>
      </w:pPr>
      <w:r>
        <w:rPr>
          <w:i/>
        </w:rPr>
        <w:t>Some challenge to fill local authority technical and specialist posts, but no issue in admin.</w:t>
      </w:r>
    </w:p>
    <w:p w:rsidR="004A6F37" w:rsidRDefault="004A6F37" w:rsidP="00290B8C">
      <w:pPr>
        <w:pStyle w:val="ListParagraph"/>
        <w:numPr>
          <w:ilvl w:val="0"/>
          <w:numId w:val="9"/>
        </w:numPr>
        <w:rPr>
          <w:i/>
        </w:rPr>
      </w:pPr>
      <w:r>
        <w:rPr>
          <w:i/>
        </w:rPr>
        <w:t>Defence sector losing specialists (including aviation</w:t>
      </w:r>
      <w:r w:rsidR="00B703B7">
        <w:rPr>
          <w:i/>
        </w:rPr>
        <w:t>, IT and engineer</w:t>
      </w:r>
      <w:r>
        <w:rPr>
          <w:i/>
        </w:rPr>
        <w:t xml:space="preserve"> grades) to better-paid private sector work.</w:t>
      </w:r>
      <w:r w:rsidR="00793C6D">
        <w:rPr>
          <w:i/>
        </w:rPr>
        <w:t xml:space="preserve"> A “significant exit” of these grades.</w:t>
      </w:r>
    </w:p>
    <w:p w:rsidR="00753642" w:rsidRPr="00E253E5" w:rsidRDefault="00FE6765" w:rsidP="00E253E5">
      <w:pPr>
        <w:pStyle w:val="ListParagraph"/>
        <w:numPr>
          <w:ilvl w:val="0"/>
          <w:numId w:val="9"/>
        </w:numPr>
        <w:rPr>
          <w:i/>
        </w:rPr>
      </w:pPr>
      <w:r w:rsidRPr="00FE6765">
        <w:rPr>
          <w:i/>
        </w:rPr>
        <w:t xml:space="preserve">No problem recruiting </w:t>
      </w:r>
      <w:r>
        <w:rPr>
          <w:i/>
        </w:rPr>
        <w:t>Garda</w:t>
      </w:r>
      <w:r w:rsidR="001D6470">
        <w:rPr>
          <w:i/>
        </w:rPr>
        <w:t xml:space="preserve"> or teachers (though INTO says entry pay a problem)</w:t>
      </w:r>
      <w:r>
        <w:rPr>
          <w:i/>
        </w:rPr>
        <w:t>.</w:t>
      </w:r>
    </w:p>
    <w:p w:rsidR="00947A14" w:rsidRDefault="00947A14" w:rsidP="00290B8C">
      <w:pPr>
        <w:pStyle w:val="ListParagraph"/>
        <w:numPr>
          <w:ilvl w:val="0"/>
          <w:numId w:val="9"/>
        </w:numPr>
        <w:rPr>
          <w:i/>
        </w:rPr>
      </w:pPr>
      <w:r>
        <w:rPr>
          <w:i/>
        </w:rPr>
        <w:t>Private sector has higher churn than public service, which has ‘job stayer rate’ of 90% over age 35, 80% (age 25-35), and 53% (age 20-24).</w:t>
      </w:r>
    </w:p>
    <w:p w:rsidR="00017B58" w:rsidRPr="00FE6765" w:rsidRDefault="00017B58" w:rsidP="00290B8C">
      <w:pPr>
        <w:pStyle w:val="ListParagraph"/>
        <w:numPr>
          <w:ilvl w:val="0"/>
          <w:numId w:val="9"/>
        </w:numPr>
        <w:rPr>
          <w:i/>
        </w:rPr>
      </w:pPr>
      <w:r>
        <w:rPr>
          <w:i/>
        </w:rPr>
        <w:t>“We found no evidence to support the view that reduced rates for new entrants represents a barrier to recruitment to the public service in general.”</w:t>
      </w:r>
    </w:p>
    <w:p w:rsidR="00760302" w:rsidRDefault="00760302" w:rsidP="00290B8C">
      <w:pPr>
        <w:pStyle w:val="ListParagraph"/>
        <w:numPr>
          <w:ilvl w:val="0"/>
          <w:numId w:val="9"/>
        </w:numPr>
        <w:rPr>
          <w:i/>
        </w:rPr>
      </w:pPr>
      <w:r>
        <w:rPr>
          <w:i/>
        </w:rPr>
        <w:t>PSC and union submissions raised pay, new entrant pay, allowance for new entrants, working hours, geographical issues, non-payment of outstanding awards, etc, as factors.</w:t>
      </w:r>
    </w:p>
    <w:p w:rsidR="00D13A7C" w:rsidRDefault="00D13A7C" w:rsidP="00D13A7C">
      <w:pPr>
        <w:rPr>
          <w:i/>
        </w:rPr>
      </w:pPr>
    </w:p>
    <w:p w:rsidR="00D13A7C" w:rsidRPr="00D13A7C" w:rsidRDefault="00836CC4" w:rsidP="00D13A7C">
      <w:pPr>
        <w:rPr>
          <w:b/>
        </w:rPr>
      </w:pPr>
      <w:r>
        <w:rPr>
          <w:b/>
        </w:rPr>
        <w:t>WORKING HOURS</w:t>
      </w:r>
    </w:p>
    <w:p w:rsidR="00D13A7C" w:rsidRDefault="00D13A7C" w:rsidP="00D13A7C">
      <w:pPr>
        <w:pStyle w:val="ListParagraph"/>
        <w:numPr>
          <w:ilvl w:val="0"/>
          <w:numId w:val="11"/>
        </w:numPr>
      </w:pPr>
      <w:r>
        <w:t>Issue r</w:t>
      </w:r>
      <w:r w:rsidRPr="00D13A7C">
        <w:t>aised in PSC and union submissions.</w:t>
      </w:r>
    </w:p>
    <w:p w:rsidR="00D13A7C" w:rsidRDefault="00D13A7C" w:rsidP="00D13A7C">
      <w:pPr>
        <w:pStyle w:val="ListParagraph"/>
        <w:numPr>
          <w:ilvl w:val="0"/>
          <w:numId w:val="11"/>
        </w:numPr>
      </w:pPr>
      <w:r>
        <w:t>15 million additional hours introduced by HRA, not FEMPI. Therefore a matter for the parties, not the Commission.</w:t>
      </w:r>
    </w:p>
    <w:p w:rsidR="00D13A7C" w:rsidRPr="00836CC4" w:rsidRDefault="00D13A7C" w:rsidP="00D13A7C">
      <w:pPr>
        <w:pStyle w:val="ListParagraph"/>
        <w:numPr>
          <w:ilvl w:val="0"/>
          <w:numId w:val="11"/>
        </w:numPr>
      </w:pPr>
      <w:r>
        <w:t xml:space="preserve">PSPC analysis of public-private pay comparisons takes account of working time. </w:t>
      </w:r>
    </w:p>
    <w:p w:rsidR="00836CC4" w:rsidRDefault="00836CC4">
      <w:pPr>
        <w:rPr>
          <w:b/>
        </w:rPr>
      </w:pPr>
      <w:r>
        <w:rPr>
          <w:b/>
        </w:rPr>
        <w:br w:type="page"/>
      </w:r>
    </w:p>
    <w:p w:rsidR="00D13A7C" w:rsidRDefault="00836CC4" w:rsidP="00D13A7C">
      <w:r>
        <w:rPr>
          <w:b/>
        </w:rPr>
        <w:t>OVERTIME AND PREMIUM PAYMENTS</w:t>
      </w:r>
    </w:p>
    <w:p w:rsidR="00D13A7C" w:rsidRDefault="00D13A7C" w:rsidP="00D13A7C">
      <w:pPr>
        <w:pStyle w:val="ListParagraph"/>
        <w:numPr>
          <w:ilvl w:val="0"/>
          <w:numId w:val="12"/>
        </w:numPr>
      </w:pPr>
      <w:r>
        <w:t>Not covered by FEMPI, so outside PSPC terms of reference.</w:t>
      </w:r>
    </w:p>
    <w:p w:rsidR="00D13A7C" w:rsidRDefault="00D13A7C" w:rsidP="00D13A7C">
      <w:pPr>
        <w:pStyle w:val="ListParagraph"/>
        <w:numPr>
          <w:ilvl w:val="0"/>
          <w:numId w:val="12"/>
        </w:numPr>
      </w:pPr>
      <w:r>
        <w:t xml:space="preserve">PSPC analysis of public-private pay comparisons takes account of overtime and premium payments. </w:t>
      </w:r>
    </w:p>
    <w:p w:rsidR="00D13A7C" w:rsidRPr="00D13A7C" w:rsidRDefault="00D13A7C" w:rsidP="00D13A7C">
      <w:pPr>
        <w:pStyle w:val="ListParagraph"/>
        <w:numPr>
          <w:ilvl w:val="0"/>
          <w:numId w:val="12"/>
        </w:numPr>
      </w:pPr>
      <w:r>
        <w:t>Matter for the parties.</w:t>
      </w:r>
    </w:p>
    <w:p w:rsidR="00D13A7C" w:rsidRPr="00D13A7C" w:rsidRDefault="00D13A7C" w:rsidP="00D13A7C">
      <w:pPr>
        <w:rPr>
          <w:i/>
        </w:rPr>
      </w:pPr>
    </w:p>
    <w:p w:rsidR="001103D0" w:rsidRDefault="00836CC4" w:rsidP="00C175E6">
      <w:r>
        <w:rPr>
          <w:b/>
        </w:rPr>
        <w:t>ABILITY TO PAY</w:t>
      </w:r>
    </w:p>
    <w:p w:rsidR="001103D0" w:rsidRDefault="001103D0" w:rsidP="001103D0">
      <w:pPr>
        <w:pStyle w:val="ListParagraph"/>
        <w:numPr>
          <w:ilvl w:val="0"/>
          <w:numId w:val="6"/>
        </w:numPr>
      </w:pPr>
      <w:r>
        <w:t xml:space="preserve">There is a basis for the parties to enter </w:t>
      </w:r>
      <w:r w:rsidR="00616711">
        <w:t xml:space="preserve">pay </w:t>
      </w:r>
      <w:r>
        <w:t>negotiations</w:t>
      </w:r>
      <w:r w:rsidR="00FB1CE7">
        <w:t>, but the State’s ability to pay</w:t>
      </w:r>
      <w:r w:rsidR="00753642">
        <w:t>,</w:t>
      </w:r>
      <w:r w:rsidR="00FB1CE7">
        <w:t xml:space="preserve"> and comp</w:t>
      </w:r>
      <w:r w:rsidR="00753642">
        <w:t xml:space="preserve">eting demands on public purse, </w:t>
      </w:r>
      <w:r w:rsidR="00FB1CE7">
        <w:t>are critical factors</w:t>
      </w:r>
      <w:r>
        <w:t>.</w:t>
      </w:r>
    </w:p>
    <w:p w:rsidR="001103D0" w:rsidRPr="001103D0" w:rsidRDefault="001103D0" w:rsidP="001103D0">
      <w:pPr>
        <w:pStyle w:val="ListParagraph"/>
        <w:numPr>
          <w:ilvl w:val="0"/>
          <w:numId w:val="6"/>
        </w:numPr>
      </w:pPr>
      <w:r>
        <w:t>It will be a matter for the parties to negotiate a timeframe for the orderly unwinding of FEMPI, having regard to maintaining sustainable national finances and competitiveness, other spending priorities, public service reform, and equity considerations.</w:t>
      </w:r>
    </w:p>
    <w:p w:rsidR="001103D0" w:rsidRDefault="001103D0" w:rsidP="00C175E6"/>
    <w:p w:rsidR="00C175E6" w:rsidRDefault="00836CC4" w:rsidP="00C175E6">
      <w:r>
        <w:rPr>
          <w:b/>
        </w:rPr>
        <w:t>ITEMS OUTSIDE PSPC TERMS OF REFERENCE</w:t>
      </w:r>
    </w:p>
    <w:p w:rsidR="00DA2B36" w:rsidRDefault="00DA2B36" w:rsidP="00DA2B36">
      <w:pPr>
        <w:pStyle w:val="ListParagraph"/>
        <w:numPr>
          <w:ilvl w:val="0"/>
          <w:numId w:val="5"/>
        </w:numPr>
      </w:pPr>
      <w:r>
        <w:t>Issues raised included outstanding pay adjudications/recommendations and working conditions.</w:t>
      </w:r>
    </w:p>
    <w:p w:rsidR="0080284F" w:rsidRDefault="00DA2B36" w:rsidP="0080284F">
      <w:pPr>
        <w:pStyle w:val="ListParagraph"/>
        <w:numPr>
          <w:ilvl w:val="0"/>
          <w:numId w:val="5"/>
        </w:numPr>
      </w:pPr>
      <w:r>
        <w:t>Parties should consider appropriate process to deal with these.</w:t>
      </w:r>
    </w:p>
    <w:p w:rsidR="0080284F" w:rsidRDefault="0080284F" w:rsidP="0080284F">
      <w:pPr>
        <w:pStyle w:val="ListParagraph"/>
        <w:numPr>
          <w:ilvl w:val="0"/>
          <w:numId w:val="5"/>
        </w:numPr>
      </w:pPr>
      <w:r>
        <w:t>Parties should consider process to deal with grade-specific adjudications.</w:t>
      </w:r>
    </w:p>
    <w:p w:rsidR="00914328" w:rsidRDefault="00914328" w:rsidP="00914328"/>
    <w:p w:rsidR="00753642" w:rsidRPr="00753642" w:rsidRDefault="00753642" w:rsidP="00753642">
      <w:pPr>
        <w:rPr>
          <w:b/>
          <w:i/>
        </w:rPr>
      </w:pPr>
      <w:r w:rsidRPr="00753642">
        <w:rPr>
          <w:b/>
          <w:i/>
        </w:rPr>
        <w:t>I</w:t>
      </w:r>
      <w:r>
        <w:rPr>
          <w:b/>
          <w:i/>
        </w:rPr>
        <w:t>tems outside terms of reference</w:t>
      </w:r>
      <w:r w:rsidRPr="00753642">
        <w:rPr>
          <w:b/>
          <w:i/>
        </w:rPr>
        <w:t>: supplementary notes</w:t>
      </w:r>
    </w:p>
    <w:p w:rsidR="00753642" w:rsidRPr="00753642" w:rsidRDefault="00753642" w:rsidP="00753642">
      <w:pPr>
        <w:pStyle w:val="ListParagraph"/>
        <w:numPr>
          <w:ilvl w:val="0"/>
          <w:numId w:val="8"/>
        </w:numPr>
        <w:rPr>
          <w:i/>
        </w:rPr>
      </w:pPr>
      <w:r w:rsidRPr="00753642">
        <w:rPr>
          <w:i/>
        </w:rPr>
        <w:t>43 submissions received.</w:t>
      </w:r>
    </w:p>
    <w:p w:rsidR="00914328" w:rsidRDefault="00914328" w:rsidP="00914328"/>
    <w:p w:rsidR="00E62D80" w:rsidRDefault="00836CC4" w:rsidP="00DA2B36">
      <w:r>
        <w:rPr>
          <w:b/>
        </w:rPr>
        <w:t>PAY AND PUBLIC SPENDING</w:t>
      </w:r>
    </w:p>
    <w:p w:rsidR="00E62D80" w:rsidRDefault="00E62D80" w:rsidP="00DA2B36">
      <w:r>
        <w:t>“Employee compensation as a percentage of general government expenditure in Ireland was 25% compared with 21% for the Euro area and 21% for the UK. However, Ireland’s general government expenditure as a percentage of GDP at 29.4% lagged behind the Euro area (48.5%) and the UK (42.9%</w:t>
      </w:r>
      <w:r w:rsidR="00032B4A">
        <w:t>).”</w:t>
      </w:r>
    </w:p>
    <w:p w:rsidR="00032B4A" w:rsidRPr="00E62D80" w:rsidRDefault="00032B4A" w:rsidP="00DA2B36">
      <w:r>
        <w:t>Gross public pay bill (net of PRD) down 9% between 2007 and 2016.</w:t>
      </w:r>
    </w:p>
    <w:sectPr w:rsidR="00032B4A" w:rsidRPr="00E62D8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D41" w:rsidRDefault="007B6D41" w:rsidP="007B6D41">
      <w:pPr>
        <w:spacing w:after="0" w:line="240" w:lineRule="auto"/>
      </w:pPr>
      <w:r>
        <w:separator/>
      </w:r>
    </w:p>
  </w:endnote>
  <w:endnote w:type="continuationSeparator" w:id="0">
    <w:p w:rsidR="007B6D41" w:rsidRDefault="007B6D41" w:rsidP="007B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2527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6D41" w:rsidRDefault="007B6D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9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6D41" w:rsidRDefault="007B6D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D41" w:rsidRDefault="007B6D41" w:rsidP="007B6D41">
      <w:pPr>
        <w:spacing w:after="0" w:line="240" w:lineRule="auto"/>
      </w:pPr>
      <w:r>
        <w:separator/>
      </w:r>
    </w:p>
  </w:footnote>
  <w:footnote w:type="continuationSeparator" w:id="0">
    <w:p w:rsidR="007B6D41" w:rsidRDefault="007B6D41" w:rsidP="007B6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6C83"/>
    <w:multiLevelType w:val="hybridMultilevel"/>
    <w:tmpl w:val="6DE8C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A7D85"/>
    <w:multiLevelType w:val="hybridMultilevel"/>
    <w:tmpl w:val="841A7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2F3"/>
    <w:multiLevelType w:val="hybridMultilevel"/>
    <w:tmpl w:val="5B00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52460"/>
    <w:multiLevelType w:val="hybridMultilevel"/>
    <w:tmpl w:val="4CA24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70B38"/>
    <w:multiLevelType w:val="hybridMultilevel"/>
    <w:tmpl w:val="14CE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273DD"/>
    <w:multiLevelType w:val="hybridMultilevel"/>
    <w:tmpl w:val="6F4C1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D26B0"/>
    <w:multiLevelType w:val="hybridMultilevel"/>
    <w:tmpl w:val="C2944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D6B69"/>
    <w:multiLevelType w:val="hybridMultilevel"/>
    <w:tmpl w:val="D7209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D1AA5"/>
    <w:multiLevelType w:val="hybridMultilevel"/>
    <w:tmpl w:val="A0929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C11F4"/>
    <w:multiLevelType w:val="hybridMultilevel"/>
    <w:tmpl w:val="085E4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93621"/>
    <w:multiLevelType w:val="hybridMultilevel"/>
    <w:tmpl w:val="BABA2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35278"/>
    <w:multiLevelType w:val="hybridMultilevel"/>
    <w:tmpl w:val="2CA8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6137B5"/>
    <w:multiLevelType w:val="hybridMultilevel"/>
    <w:tmpl w:val="A7DAD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D51383"/>
    <w:multiLevelType w:val="hybridMultilevel"/>
    <w:tmpl w:val="8E6C3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3"/>
  </w:num>
  <w:num w:numId="5">
    <w:abstractNumId w:val="8"/>
  </w:num>
  <w:num w:numId="6">
    <w:abstractNumId w:val="10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12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94"/>
    <w:rsid w:val="00017B58"/>
    <w:rsid w:val="000318CE"/>
    <w:rsid w:val="00032B4A"/>
    <w:rsid w:val="000639B5"/>
    <w:rsid w:val="00080A72"/>
    <w:rsid w:val="0008335E"/>
    <w:rsid w:val="00085173"/>
    <w:rsid w:val="001103D0"/>
    <w:rsid w:val="00134D93"/>
    <w:rsid w:val="001D6470"/>
    <w:rsid w:val="00207FFA"/>
    <w:rsid w:val="002220E9"/>
    <w:rsid w:val="00235E10"/>
    <w:rsid w:val="00260F23"/>
    <w:rsid w:val="00290B8C"/>
    <w:rsid w:val="002E0D52"/>
    <w:rsid w:val="002F56D7"/>
    <w:rsid w:val="00317DF8"/>
    <w:rsid w:val="003452A6"/>
    <w:rsid w:val="00493C5C"/>
    <w:rsid w:val="004A30AB"/>
    <w:rsid w:val="004A6F37"/>
    <w:rsid w:val="005B1D92"/>
    <w:rsid w:val="005C6394"/>
    <w:rsid w:val="00616711"/>
    <w:rsid w:val="006A5E58"/>
    <w:rsid w:val="00753642"/>
    <w:rsid w:val="00760302"/>
    <w:rsid w:val="007714E9"/>
    <w:rsid w:val="00793C6D"/>
    <w:rsid w:val="007B6D41"/>
    <w:rsid w:val="007D24B2"/>
    <w:rsid w:val="007D3635"/>
    <w:rsid w:val="007F5BB3"/>
    <w:rsid w:val="0080284F"/>
    <w:rsid w:val="008153ED"/>
    <w:rsid w:val="00836CC4"/>
    <w:rsid w:val="00861075"/>
    <w:rsid w:val="00872D1C"/>
    <w:rsid w:val="008C75CD"/>
    <w:rsid w:val="00914328"/>
    <w:rsid w:val="009337C9"/>
    <w:rsid w:val="00947A14"/>
    <w:rsid w:val="00953B15"/>
    <w:rsid w:val="00997722"/>
    <w:rsid w:val="00997ED7"/>
    <w:rsid w:val="009A34CD"/>
    <w:rsid w:val="009E6CFA"/>
    <w:rsid w:val="00A3446D"/>
    <w:rsid w:val="00A54B7F"/>
    <w:rsid w:val="00A749B3"/>
    <w:rsid w:val="00A93526"/>
    <w:rsid w:val="00AC521F"/>
    <w:rsid w:val="00AC7671"/>
    <w:rsid w:val="00B11CBA"/>
    <w:rsid w:val="00B21DD9"/>
    <w:rsid w:val="00B671D6"/>
    <w:rsid w:val="00B703B7"/>
    <w:rsid w:val="00B8583C"/>
    <w:rsid w:val="00B879A7"/>
    <w:rsid w:val="00BB110B"/>
    <w:rsid w:val="00BF736F"/>
    <w:rsid w:val="00C175E6"/>
    <w:rsid w:val="00C205EC"/>
    <w:rsid w:val="00C26F34"/>
    <w:rsid w:val="00C37991"/>
    <w:rsid w:val="00CA3910"/>
    <w:rsid w:val="00CD3DFF"/>
    <w:rsid w:val="00D13A7C"/>
    <w:rsid w:val="00D7303C"/>
    <w:rsid w:val="00DA2B36"/>
    <w:rsid w:val="00DA70DE"/>
    <w:rsid w:val="00DE7D72"/>
    <w:rsid w:val="00E253E5"/>
    <w:rsid w:val="00E62D80"/>
    <w:rsid w:val="00E67B94"/>
    <w:rsid w:val="00EA2510"/>
    <w:rsid w:val="00F357D3"/>
    <w:rsid w:val="00F636DE"/>
    <w:rsid w:val="00F9330E"/>
    <w:rsid w:val="00FB1CE7"/>
    <w:rsid w:val="00F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3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6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D41"/>
  </w:style>
  <w:style w:type="paragraph" w:styleId="Footer">
    <w:name w:val="footer"/>
    <w:basedOn w:val="Normal"/>
    <w:link w:val="FooterChar"/>
    <w:uiPriority w:val="99"/>
    <w:unhideWhenUsed/>
    <w:rsid w:val="007B6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D41"/>
  </w:style>
  <w:style w:type="paragraph" w:styleId="BalloonText">
    <w:name w:val="Balloon Text"/>
    <w:basedOn w:val="Normal"/>
    <w:link w:val="BalloonTextChar"/>
    <w:uiPriority w:val="99"/>
    <w:semiHidden/>
    <w:unhideWhenUsed/>
    <w:rsid w:val="00083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3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3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6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D41"/>
  </w:style>
  <w:style w:type="paragraph" w:styleId="Footer">
    <w:name w:val="footer"/>
    <w:basedOn w:val="Normal"/>
    <w:link w:val="FooterChar"/>
    <w:uiPriority w:val="99"/>
    <w:unhideWhenUsed/>
    <w:rsid w:val="007B6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D41"/>
  </w:style>
  <w:style w:type="paragraph" w:styleId="BalloonText">
    <w:name w:val="Balloon Text"/>
    <w:basedOn w:val="Normal"/>
    <w:link w:val="BalloonTextChar"/>
    <w:uiPriority w:val="99"/>
    <w:semiHidden/>
    <w:unhideWhenUsed/>
    <w:rsid w:val="00083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5E09A-AD9A-406F-B369-1783830A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1594</Words>
  <Characters>9088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IMPACT Trade Union</Company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Harbor</dc:creator>
  <cp:lastModifiedBy>Tom Geraghty</cp:lastModifiedBy>
  <cp:revision>2</cp:revision>
  <cp:lastPrinted>2017-05-06T08:27:00Z</cp:lastPrinted>
  <dcterms:created xsi:type="dcterms:W3CDTF">2017-05-09T11:53:00Z</dcterms:created>
  <dcterms:modified xsi:type="dcterms:W3CDTF">2017-05-09T11:53:00Z</dcterms:modified>
</cp:coreProperties>
</file>